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2020年第</w:t>
      </w: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一</w:t>
      </w:r>
      <w:bookmarkEnd w:id="0"/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季度能源资源消耗统计分析报告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按照《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公共机构能源资源消耗统计制度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的要求，浙江万里学院对钱湖校区的能源资源消耗进行了统计和分析，现将有关情况报告如下：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电消耗情况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2019年第一季度，电消耗总量5197270度；2020年第一季度，电消耗总量3164630度，同比下降39.11%，具体见下图：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电力消耗柱形图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水消耗情况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2019年第一季度，用水总量160277吨；2020年第一季度，用水总量186272吨，同比上升16.22%，具体见下图：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用水消耗柱形图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天然气消耗情况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2019年第一季度，天然气消耗总量102588立方米；2020年第一季度，天然气消耗总量37215立方米，同比下降63.72%，具体见下图：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天然气消耗柱形图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D7FF"/>
    <w:multiLevelType w:val="singleLevel"/>
    <w:tmpl w:val="052FD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E2CCC"/>
    <w:rsid w:val="38D1204B"/>
    <w:rsid w:val="70D37E9F"/>
    <w:rsid w:val="711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94764\Desktop\&#19975;&#37324;&#30005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94764\Desktop\&#19975;&#37324;&#30005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94764\Desktop\&#19975;&#37324;&#3000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[万里电表.xlsx]能源!$A$19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20703933747412"/>
                  <c:y val="0.003521126760563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[万里电表.xlsx]能源!$C$21:$C$23</c:f>
              <c:numCache>
                <c:formatCode>General</c:formatCode>
                <c:ptCount val="3"/>
                <c:pt idx="0">
                  <c:v>2879190</c:v>
                </c:pt>
                <c:pt idx="1">
                  <c:v>668270</c:v>
                </c:pt>
                <c:pt idx="2">
                  <c:v>1649810</c:v>
                </c:pt>
              </c:numCache>
            </c:numRef>
          </c:val>
        </c:ser>
        <c:ser>
          <c:idx val="0"/>
          <c:order val="1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124223602484472"/>
                  <c:y val="0.04577464788732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[万里电表.xlsx]能源!$H$21:$H$23</c:f>
              <c:numCache>
                <c:formatCode>General</c:formatCode>
                <c:ptCount val="3"/>
                <c:pt idx="0">
                  <c:v>2196150</c:v>
                </c:pt>
                <c:pt idx="1">
                  <c:v>522210</c:v>
                </c:pt>
                <c:pt idx="2">
                  <c:v>446270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[万里电表.xlsx]能源!$A$19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41407867494824"/>
                  <c:y val="0.01760563380281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[万里电表.xlsx]能源!$B$21:$B$23</c:f>
              <c:numCache>
                <c:formatCode>General</c:formatCode>
                <c:ptCount val="3"/>
                <c:pt idx="0">
                  <c:v>68219</c:v>
                </c:pt>
                <c:pt idx="1">
                  <c:v>39352</c:v>
                </c:pt>
                <c:pt idx="2">
                  <c:v>52706</c:v>
                </c:pt>
              </c:numCache>
            </c:numRef>
          </c:val>
        </c:ser>
        <c:ser>
          <c:idx val="0"/>
          <c:order val="1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02464788732394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82815734989648"/>
                  <c:y val="0.02464788732394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[万里电表.xlsx]能源!$G$21:$G$23</c:f>
              <c:numCache>
                <c:formatCode>General</c:formatCode>
                <c:ptCount val="3"/>
                <c:pt idx="0">
                  <c:v>90417</c:v>
                </c:pt>
                <c:pt idx="1">
                  <c:v>47861</c:v>
                </c:pt>
                <c:pt idx="2">
                  <c:v>47994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[万里电表.xlsx]能源!$A$19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41407867494824"/>
                  <c:y val="0.01760563380281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[万里电表.xlsx]能源!$D$21:$D$23</c:f>
              <c:numCache>
                <c:formatCode>General</c:formatCode>
                <c:ptCount val="3"/>
                <c:pt idx="0">
                  <c:v>22369</c:v>
                </c:pt>
                <c:pt idx="1">
                  <c:v>19271</c:v>
                </c:pt>
                <c:pt idx="2">
                  <c:v>60948</c:v>
                </c:pt>
              </c:numCache>
            </c:numRef>
          </c:val>
        </c:ser>
        <c:ser>
          <c:idx val="0"/>
          <c:order val="1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02464788732394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82815734989648"/>
                  <c:y val="0.02464788732394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[万里电表.xlsx]能源!$F$21:$F$23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[万里电表.xlsx]能源!$I$21:$I$23</c:f>
              <c:numCache>
                <c:formatCode>General</c:formatCode>
                <c:ptCount val="3"/>
                <c:pt idx="0">
                  <c:v>13712</c:v>
                </c:pt>
                <c:pt idx="1">
                  <c:v>12651</c:v>
                </c:pt>
                <c:pt idx="2">
                  <c:v>10852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2022-11-01T03:43:00Z</dcterms:created>
  <dc:creator>低调</dc:creator>
  <cp:lastModifiedBy>低调</cp:lastModifiedBy>
  <dcterms:modified xsi:type="dcterms:W3CDTF">2022-11-01T04:18:45Z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